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docProps/custom.xml" ContentType="application/vnd.openxmlformats-officedocument.custom-properti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color w:val="1d70b7"/>
          <w:sz w:val="60"/>
          <w:szCs w:val="60"/>
        </w:rPr>
      </w:pPr>
      <w:r>
        <w:rPr>
          <w:b/>
          <w:color w:val="666666"/>
          <w:sz w:val="60"/>
          <w:szCs w:val="60"/>
        </w:rPr>
        <w:t>Rezension</w:t>
      </w:r>
      <w:r>
        <w:rPr>
          <w:b/>
          <w:color w:val="1d70b7"/>
          <w:sz w:val="60"/>
          <w:szCs w:val="60"/>
        </w:rPr>
        <w:t xml:space="preserve"> </w:t>
      </w:r>
      <w:r>
        <w:rPr>
          <w:b/>
          <w:color w:val="1d70b7"/>
          <w:sz w:val="60"/>
          <w:szCs w:val="60"/>
        </w:rPr>
      </w:r>
    </w:p>
    <w:p>
      <w:pPr>
        <w:rPr>
          <w:i/>
          <w:iCs/>
        </w:rPr>
      </w:pPr>
      <w:r>
        <w:rPr>
          <w:i/>
          <w:iCs/>
        </w:rPr>
        <w:fldChar w:fldCharType="begin"/>
        <w:instrText xml:space="preserve"> USERNAME </w:instrText>
        <w:fldChar w:fldCharType="separate"/>
        <w:fldChar w:fldCharType="end"/>
      </w:r>
      <w:r>
        <w:rPr>
          <w:i/>
          <w:iCs/>
        </w:rPr>
        <w:fldChar w:fldCharType="begin"/>
        <w:instrText xml:space="preserve"> DOCPROPERTY USERCOMPANY </w:instrText>
        <w:fldChar w:fldCharType="separate"/>
        <w:fldChar w:fldCharType="end"/>
      </w:r>
      <w:r>
        <w:rPr>
          <w:i/>
          <w:iCs/>
        </w:rPr>
        <w:t>Wörter: 279</w:t>
      </w:r>
    </w:p>
    <w:p>
      <w:pPr>
        <w:rPr>
          <w:i/>
          <w:iCs/>
        </w:rPr>
      </w:pPr>
      <w:r>
        <w:rPr>
          <w:i/>
          <w:iCs/>
        </w:rPr>
        <w:t>Zeichen/Anschläge: 2.042/2.333</w:t>
      </w:r>
    </w:p>
    <w:p>
      <w:r>
        <w:rPr>
          <w:noProof/>
        </w:rPr>
        <w:pict>
          <v:rect id="_x0000_i1026" style="width:0.00pt;height:1.00pt" o:hr="t" o:hrpct="1000" o:hralign="center" o:hrnoshade="t" fillcolor="#000000" stroked="f"/>
        </w:pict>
      </w:r>
      <w:r/>
    </w:p>
    <w:p>
      <w:pPr>
        <w:widowControl/>
        <w:rPr>
          <w:rFonts w:ascii="Calibri" w:hAnsi="Calibri" w:eastAsia="Calibri" w:cs="Basic Roman"/>
          <w:sz w:val="24"/>
          <w:szCs w:val="24"/>
        </w:rPr>
      </w:pPr>
      <w:r>
        <w:rPr>
          <w:rFonts w:ascii="Calibri" w:hAnsi="Calibri" w:eastAsia="Calibri" w:cs="Basic Roman"/>
          <w:sz w:val="24"/>
          <w:szCs w:val="24"/>
        </w:rPr>
      </w:r>
    </w:p>
    <w:p>
      <w:pPr>
        <w:widowControl/>
        <w:rPr>
          <w:rFonts w:ascii="Calibri" w:hAnsi="Calibri" w:eastAsia="Calibri" w:cs="Basic Roman"/>
          <w:sz w:val="24"/>
          <w:szCs w:val="24"/>
        </w:rPr>
      </w:pPr>
      <w:r>
        <w:rPr>
          <w:rFonts w:ascii="Calibri" w:hAnsi="Calibri" w:eastAsia="Calibri" w:cs="Basic Roman"/>
          <w:sz w:val="24"/>
          <w:szCs w:val="24"/>
        </w:rPr>
        <w:t xml:space="preserve">Nie zuvor gab es so viele Allergiker, Asthmatiker und Patienten mit Neurodermitis wie heute. Die bekannten Behandlungsmethoden veranlassen viele Betroffene, sich auf einen Behandlungsmarathon einzulassen, mit dem nur in Ausnahmefällen Heilung erzielt wird. Allergie ist grundsätzlich eine Überempfindlichkeitsreaktion des Immunsystems auf einen ansonsten „harmlosen“ Stoff. Dabei entwickelt der Körper verschiedene Symptome, die mild, aber auch schwerwiegend oder sogar lebensbedrohlich verlaufen können. </w:t>
      </w:r>
    </w:p>
    <w:p>
      <w:pPr>
        <w:widowControl/>
        <w:rPr>
          <w:rFonts w:ascii="Calibri" w:hAnsi="Calibri" w:eastAsia="Calibri" w:cs="Basic Roman"/>
          <w:sz w:val="24"/>
          <w:szCs w:val="24"/>
        </w:rPr>
      </w:pPr>
      <w:r>
        <w:rPr>
          <w:rFonts w:ascii="Calibri" w:hAnsi="Calibri" w:eastAsia="Calibri" w:cs="Basic Roman"/>
          <w:sz w:val="24"/>
          <w:szCs w:val="24"/>
        </w:rPr>
      </w:r>
    </w:p>
    <w:p>
      <w:pPr>
        <w:widowControl/>
        <w:rPr>
          <w:rFonts w:ascii="Calibri" w:hAnsi="Calibri" w:eastAsia="Calibri" w:cs="Basic Roman"/>
          <w:sz w:val="24"/>
          <w:szCs w:val="24"/>
        </w:rPr>
      </w:pPr>
      <w:r>
        <w:rPr>
          <w:rFonts w:ascii="Calibri" w:hAnsi="Calibri" w:eastAsia="Calibri" w:cs="Basic Roman"/>
          <w:sz w:val="24"/>
          <w:szCs w:val="24"/>
        </w:rPr>
        <w:t>Der in seiner Praxis für Naturheilkunde in Düsseldorf lebende Heilpraktiker Andreas Nieswandt hat sich in seinem vierten Buch dieser besonderen Zielgruppe angenommen und fasst zahlreiche Selbsthilfe-Methoden der Alternativmedizin sowie Medikamente aus der Naturheilkunde zusammen, die nach seiner Beobachtung aus der medizinischen Praxis Menschen geholfen haben, ihre Allergien zu lindern und oftmals zu besiegen.</w:t>
      </w:r>
    </w:p>
    <w:p>
      <w:pPr>
        <w:widowControl/>
        <w:rPr>
          <w:rFonts w:ascii="Calibri" w:hAnsi="Calibri" w:eastAsia="Calibri" w:cs="Basic Roman"/>
          <w:sz w:val="24"/>
          <w:szCs w:val="24"/>
        </w:rPr>
      </w:pPr>
      <w:r>
        <w:rPr>
          <w:rFonts w:ascii="Calibri" w:hAnsi="Calibri" w:eastAsia="Calibri" w:cs="Basic Roman"/>
          <w:sz w:val="24"/>
          <w:szCs w:val="24"/>
        </w:rPr>
      </w:r>
    </w:p>
    <w:p>
      <w:pPr>
        <w:widowControl/>
        <w:rPr>
          <w:rFonts w:ascii="Calibri" w:hAnsi="Calibri" w:eastAsia="Calibri" w:cs="Basic Roman"/>
          <w:sz w:val="24"/>
          <w:szCs w:val="24"/>
        </w:rPr>
      </w:pPr>
      <w:r>
        <w:rPr>
          <w:rFonts w:ascii="Calibri" w:hAnsi="Calibri" w:eastAsia="Calibri" w:cs="Basic Roman"/>
          <w:sz w:val="24"/>
          <w:szCs w:val="24"/>
        </w:rPr>
        <w:t xml:space="preserve">Es gibt Hunderte von Stoffen, die eine Allergie auslösen können und zu unterschiedlichsten Symptomen führen. Daher versucht der Autor im ersten Teil durch einen Anamnesefragebogen, den der Leser auch im kostenfreien Download beziehen kann, die Symptome zu konkretisieren. Der Fragekatalog sollte daher akribisch genau und selbstreflektorisch durchgeführt werden, damit die Ursachen der körperlichen Reaktionen möglichst detailliert ergründet werden können. </w:t>
      </w:r>
    </w:p>
    <w:p>
      <w:pPr>
        <w:widowControl/>
        <w:rPr>
          <w:rFonts w:ascii="Calibri" w:hAnsi="Calibri" w:eastAsia="Calibri" w:cs="Basic Roman"/>
          <w:sz w:val="24"/>
          <w:szCs w:val="24"/>
        </w:rPr>
      </w:pPr>
      <w:r>
        <w:rPr>
          <w:rFonts w:ascii="Calibri" w:hAnsi="Calibri" w:eastAsia="Calibri" w:cs="Basic Roman"/>
          <w:sz w:val="24"/>
          <w:szCs w:val="24"/>
        </w:rPr>
      </w:r>
    </w:p>
    <w:p>
      <w:pPr>
        <w:widowControl/>
        <w:rPr>
          <w:rFonts w:ascii="Calibri" w:hAnsi="Calibri" w:eastAsia="Calibri" w:cs="Basic Roman"/>
          <w:sz w:val="24"/>
          <w:szCs w:val="24"/>
        </w:rPr>
      </w:pPr>
      <w:r>
        <w:rPr>
          <w:rFonts w:ascii="Calibri" w:hAnsi="Calibri" w:eastAsia="Calibri" w:cs="Basic Roman"/>
          <w:sz w:val="24"/>
          <w:szCs w:val="24"/>
        </w:rPr>
        <w:t xml:space="preserve">Alle weiteren Schritte sind – abgesehen von verschiedenen Erklärungen über das menschliche Energiesystem – der Selbstbehandlung der Symptomursachen gewidmet. Dabei geht es um die richtige Vorbereitung, um Selbstbehandlungsmethoden wie Akupunkturpunktklopfen, Schüßlersalze, Homöopathie/Komplexhomöopathie, Allergieheilkost oder Leber-, Nieren und Gallenblasenreinigungen. Einen besonderen Schwerpunkt legt er dabei auf die neue Gemmotherapie (Blütenknospen), die gerade für diese Zielgruppe große Behandlungserfolge verspricht. </w:t>
      </w:r>
    </w:p>
    <w:p>
      <w:pPr>
        <w:widowControl/>
        <w:rPr>
          <w:rFonts w:ascii="Calibri" w:hAnsi="Calibri" w:eastAsia="Calibri" w:cs="Basic Roman"/>
          <w:sz w:val="24"/>
          <w:szCs w:val="24"/>
        </w:rPr>
      </w:pPr>
      <w:r>
        <w:rPr>
          <w:rFonts w:ascii="Calibri" w:hAnsi="Calibri" w:eastAsia="Calibri" w:cs="Basic Roman"/>
          <w:sz w:val="24"/>
          <w:szCs w:val="24"/>
        </w:rPr>
      </w:r>
    </w:p>
    <w:p>
      <w:pPr>
        <w:widowControl/>
        <w:rPr>
          <w:rFonts w:ascii="Calibri" w:hAnsi="Calibri" w:eastAsia="Calibri" w:cs="Basic Roman"/>
          <w:sz w:val="24"/>
          <w:szCs w:val="24"/>
        </w:rPr>
      </w:pPr>
      <w:r>
        <w:rPr>
          <w:rFonts w:ascii="Calibri" w:hAnsi="Calibri" w:eastAsia="Calibri" w:cs="Basic Roman"/>
          <w:sz w:val="24"/>
          <w:szCs w:val="24"/>
        </w:rPr>
        <w:t xml:space="preserve">In übersichtlichen Tabellen – auch auf den Klappen – stellt er eine einfache Selbstindikation zur Verfügung ohne im Buch groß nachschlagen zu müssen. Dieser kompakte Ratgeber ist in seiner Art einzigartig, weil er sich übersichtlich und leicht verständlich dem komplementärmedizinischen Behandlungsweg verschreibt und daher auch die Selbstverantwortung im Heilungsprozess einschließt. </w:t>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type w:val="continuous"/>
      <w:pgSz w:h="16839" w:w="11907"/>
      <w:pgMar w:left="1134" w:top="1134" w:right="1134" w:bottom="1134" w:header="567" w:footer="0"/>
      <w:paperSrc w:first="0" w:other="0"/>
      <w:pgNumType w:fmt="decimal"/>
      <w:tmGutter w:val="3"/>
      <w:mirrorMargins w:val="0"/>
      <w:tmSection w:h="-2">
        <w:tmHeader w:id="0" w:h="0" edge="567" text="0">
          <w:shd w:val="none"/>
        </w:tmHeader>
        <w:tmFooter w:id="0" w:h="0" edge="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Segoe UI">
    <w:charset w:val="00"/>
    <w:family w:val="swiss"/>
    <w:pitch w:val="default"/>
  </w:font>
  <w:font w:name="Times New Roman">
    <w:charset w:val="00"/>
    <w:family w:val="roman"/>
    <w:pitch w:val="default"/>
  </w:font>
  <w:font w:name="Calibri">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pPr>
    <w:r>
      <w:rPr>
        <w:noProof/>
      </w:rPr>
      <w:drawing>
        <wp:anchor distT="0" distB="0" distL="0" distR="0" simplePos="0" relativeHeight="251658241" behindDoc="0" locked="0" layoutInCell="0" hidden="0" allowOverlap="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val="SMDATA_14_InElX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DAAAABAAAAAAAAAAAAAAAAAAAAAAAAAAHgAAAGgAAAAAAAAAAAAAAAAAAAAAAAAAAAAAABAnAAAQJwAAAAAAAAAAAAAAAAAAAAAAAAAAAAAAAAAAAAAAAAAAAAAUAAAAAAAAAMDA/wAAAAAAZAAAADIAAAAAAAAAZAAAAAAAAAB/f38ACgAAACEAAABAAAAAPAAAAAAAAAAQogAAI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3073"/>
    <o:shapelayout v:ext="edit">
      <o:rules v:ext="edit"/>
    </o:shapelayout>
  </w:shapeDefaults>
  <w:tmPrefOne w:val="16"/>
  <w:tmPrefTwo w:val="1"/>
  <w:tmFmtPref w:val="55063659"/>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2"/>
      <w:tmLastPosIdx w:val="27"/>
    </w:tmLastPosCaret>
    <w:tmLastPosAnchor>
      <w:tmLastPosPgfIdx w:val="0"/>
      <w:tmLastPosIdx w:val="0"/>
    </w:tmLastPosAnchor>
    <w:tmLastPosTblRect w:left="0" w:top="0" w:right="0" w:bottom="0"/>
  </w:tmLastPos>
  <w:tmAppRevision w:date="1596289314"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b/>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b/>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May</dc:creator>
  <cp:keywords/>
  <dc:description/>
  <cp:lastModifiedBy/>
  <cp:revision>3</cp:revision>
  <dcterms:created xsi:type="dcterms:W3CDTF">2020-08-01T11:58:00Z</dcterms:created>
  <dcterms:modified xsi:type="dcterms:W3CDTF">2020-08-01T13:41:54Z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